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numPr>
          <w:ilvl w:val="0"/>
          <w:numId w:val="0"/>
        </w:numPr>
        <w:tabs>
          <w:tab w:val="left" w:pos="1134" w:leader="none"/>
        </w:tabs>
        <w:spacing w:lineRule="auto" w:line="240" w:beforeAutospacing="0" w:before="0" w:after="0"/>
        <w:ind w:left="2061" w:hanging="0"/>
        <w:jc w:val="both"/>
        <w:rPr>
          <w:sz w:val="26"/>
          <w:szCs w:val="26"/>
        </w:rPr>
      </w:pPr>
      <w:r>
        <w:rPr/>
      </w:r>
    </w:p>
    <w:p>
      <w:pPr>
        <w:pStyle w:val="Normal"/>
        <w:tabs>
          <w:tab w:val="left" w:pos="851" w:leader="none"/>
        </w:tabs>
        <w:spacing w:lineRule="auto" w:line="360" w:before="0"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Normal"/>
        <w:tabs>
          <w:tab w:val="left" w:pos="851" w:leader="none"/>
        </w:tabs>
        <w:spacing w:lineRule="auto" w:line="360" w:before="0" w:after="0"/>
        <w:ind w:firstLine="562"/>
        <w:jc w:val="both"/>
        <w:rPr>
          <w:rFonts w:ascii="Times New Roman" w:hAnsi="Times New Roman"/>
          <w:b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Название проекта:</w:t>
      </w:r>
    </w:p>
    <w:p>
      <w:pPr>
        <w:pStyle w:val="Normal"/>
        <w:tabs>
          <w:tab w:val="left" w:pos="851" w:leader="none"/>
        </w:tabs>
        <w:spacing w:lineRule="auto" w:line="360" w:before="0" w:after="0"/>
        <w:ind w:firstLine="562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Создание условий для реализации раздельно-параллельного обучения на уровне основного образования в  условиях внедрения ФГОС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both"/>
        <w:rPr/>
      </w:pPr>
      <w:r>
        <w:rPr>
          <w:rFonts w:ascii="Times New Roman" w:hAnsi="Times New Roman"/>
          <w:b/>
          <w:i/>
          <w:sz w:val="24"/>
        </w:rPr>
        <w:t>Цель проекта</w:t>
      </w:r>
      <w:r>
        <w:rPr>
          <w:b/>
        </w:rPr>
        <w:t>:</w:t>
      </w:r>
      <w:r>
        <w:rPr/>
        <w:t xml:space="preserve">  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  <w:t>- с</w:t>
      </w:r>
      <w:r>
        <w:rPr>
          <w:rFonts w:ascii="Times New Roman" w:hAnsi="Times New Roman"/>
          <w:color w:val="000000"/>
          <w:sz w:val="24"/>
          <w:szCs w:val="24"/>
        </w:rPr>
        <w:t xml:space="preserve">оздание </w:t>
      </w:r>
      <w:r>
        <w:rPr>
          <w:rFonts w:ascii="Times New Roman" w:hAnsi="Times New Roman"/>
          <w:sz w:val="24"/>
          <w:szCs w:val="24"/>
        </w:rPr>
        <w:t xml:space="preserve">системы условий для организации раздельно-параллельного обучения на уровне основного образования в  условиях внедрения ФГОС; 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раздельно-параллельного обучения на уровне основного образования в муниципальном общеобразовательном учреждении «Средняя школа № 99»</w:t>
      </w:r>
      <w:r>
        <w:rPr>
          <w:rFonts w:ascii="Times New Roman" w:hAnsi="Times New Roman"/>
          <w:sz w:val="24"/>
        </w:rPr>
        <w:t xml:space="preserve"> с учетом психофизиологических  особенностей детей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достижение высоких результатов (личностных, предметных и метапредметных)  и динамика развития обучающихся  классов раздельно-параллельного обучения. </w:t>
      </w:r>
    </w:p>
    <w:p>
      <w:pPr>
        <w:pStyle w:val="Normal"/>
        <w:spacing w:lineRule="auto" w:line="300"/>
        <w:ind w:left="60" w:right="60" w:firstLine="30"/>
        <w:jc w:val="both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Задачи проекта: </w:t>
      </w:r>
    </w:p>
    <w:p>
      <w:pPr>
        <w:pStyle w:val="Normal"/>
        <w:spacing w:lineRule="auto" w:line="300"/>
        <w:ind w:left="60" w:right="6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выявить влияющие на качество образования психофизиологические особенности;</w:t>
      </w:r>
    </w:p>
    <w:p>
      <w:pPr>
        <w:pStyle w:val="Normal"/>
        <w:spacing w:lineRule="auto" w:line="300"/>
        <w:ind w:left="60" w:right="6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проверить опытно-экспериментальным путём влияние выделенных гендерных особенностей на качество образования;</w:t>
      </w:r>
    </w:p>
    <w:p>
      <w:pPr>
        <w:pStyle w:val="Normal"/>
        <w:spacing w:lineRule="auto" w:line="300"/>
        <w:ind w:left="60" w:right="6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оптимизировать учебный процесс на основе полученных результатов;</w:t>
      </w:r>
    </w:p>
    <w:p>
      <w:pPr>
        <w:pStyle w:val="Normal"/>
        <w:spacing w:lineRule="auto" w:line="300"/>
        <w:ind w:left="60" w:right="6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составить рекомендации, которые могут использоваться в рамках   образовательных учреждений, реализующих как раздельное, так и совместное обучение.</w:t>
      </w:r>
    </w:p>
    <w:p>
      <w:pPr>
        <w:pStyle w:val="Normal"/>
        <w:spacing w:lineRule="auto" w:line="300"/>
        <w:ind w:left="60" w:right="60" w:firstLine="30"/>
        <w:jc w:val="both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Основная идея проекта: </w:t>
      </w:r>
      <w:r>
        <w:rPr>
          <w:rFonts w:ascii="Times New Roman" w:hAnsi="Times New Roman"/>
          <w:color w:val="000000"/>
          <w:sz w:val="24"/>
        </w:rPr>
        <w:t>выявить и актуализировать основные факторы (условия), необходимые для подготовки и качественного обучения школьников с учетом их гендерных различий на уровне основного общего и среднего образования.  Разработать и реализовать подробный  план действий по подготовке к раздельно-параллельному обучению школьников в средней школе.</w:t>
      </w:r>
    </w:p>
    <w:p>
      <w:pPr>
        <w:pStyle w:val="Normal"/>
        <w:spacing w:lineRule="auto" w:line="300"/>
        <w:ind w:left="60" w:right="60" w:firstLine="30"/>
        <w:jc w:val="both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Сроки реализации инновационного проекта: </w:t>
      </w:r>
      <w:r>
        <w:rPr>
          <w:rFonts w:ascii="Times New Roman" w:hAnsi="Times New Roman"/>
          <w:sz w:val="24"/>
        </w:rPr>
        <w:t>осуществление  организационных основ, исследование  необходимых условий для перестройки образовательного процесса возможно в течение 3 лет с момента присвоения статуса.</w:t>
      </w:r>
    </w:p>
    <w:p>
      <w:pPr>
        <w:pStyle w:val="Normal"/>
        <w:tabs>
          <w:tab w:val="left" w:pos="851" w:leader="none"/>
        </w:tabs>
        <w:spacing w:lineRule="auto" w:line="360" w:before="0" w:after="0"/>
        <w:ind w:firstLine="562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left" w:pos="851" w:leader="none"/>
        </w:tabs>
        <w:spacing w:lineRule="auto" w:line="360" w:before="0" w:after="0"/>
        <w:ind w:firstLine="562"/>
        <w:jc w:val="both"/>
        <w:rPr>
          <w:rFonts w:ascii="Times New Roman" w:hAnsi="Times New Roman"/>
          <w:b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Программа реализации проекта</w:t>
      </w:r>
    </w:p>
    <w:p>
      <w:pPr>
        <w:pStyle w:val="Normal"/>
        <w:tabs>
          <w:tab w:val="left" w:pos="851" w:leader="none"/>
        </w:tabs>
        <w:spacing w:lineRule="auto" w:line="360" w:before="0" w:after="0"/>
        <w:ind w:firstLine="562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Исходные теоретические положения</w:t>
      </w:r>
    </w:p>
    <w:p>
      <w:pPr>
        <w:pStyle w:val="Normal"/>
        <w:spacing w:lineRule="auto" w:line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В современных условиях меняющегося характера труда одной из важнейших задач образования становится максимальный учет особенностей учащихся.  Современная школа учитывает в основном возрастные особенности, тогда как полоролевые (гендерные) особенности оказываются слабо учитываемыми при организации образовательного процесса. Между тем, половые особенности накладывают отпечаток на проявление практически всех качеств и свойств человека. Формирование индивидуальности и разностороннего интеллектуального, нравственного, эмоционального и физического развития каждого ребенка невозможно без учета его половой принадлежности. Разрешение задачи становления  в социуме новых культурных ценностей невозможно вне вхождения ребенка в социальную жизнь общества, вне освоения им гендерных ролей. Достижение качества образования, соответствующего потребностям личности, социума и рынка труда, без решения данной задачи невозможно, поскольку современное общество требует от человека выступать в качестве не просто человека, но мужчины или женщины.</w:t>
      </w:r>
    </w:p>
    <w:p>
      <w:pPr>
        <w:pStyle w:val="Normal"/>
        <w:tabs>
          <w:tab w:val="left" w:pos="851" w:leader="none"/>
        </w:tabs>
        <w:spacing w:lineRule="auto" w:line="360" w:before="0" w:after="0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сегодняшний день в российской школе нет специальной программы </w:t>
      </w:r>
      <w:r>
        <w:rPr>
          <w:rFonts w:ascii="Times New Roman" w:hAnsi="Times New Roman"/>
          <w:bCs/>
          <w:iCs/>
          <w:sz w:val="24"/>
          <w:szCs w:val="24"/>
        </w:rPr>
        <w:t>раздельного обучения для мальчиков и девочек. С другой стороны, ряд современных исследователей (Бреслав Г. М., Хасан Б. И., Хризман Т.П. Еремеева В. Д., Каган В. Е., Кон И.С. и др.) подчеркивают необходимость подбора содержания, форм и методов обучения в соответствии с половозрастными особенностями школьников.</w:t>
      </w:r>
      <w:r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От того, насколько требования, предъявляемые школой, будут адекватны возможностям девочек и мальчиков, во многом зависят не только школьные успехи, но и становление личности в целом.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left" w:pos="851" w:leader="none"/>
        </w:tabs>
        <w:spacing w:lineRule="auto" w:line="360" w:before="0" w:after="0"/>
        <w:ind w:firstLine="56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муниципальном общеобразовательном учреждении «Средняя школа № 99» города Ярославля реализуется раздельно-параллельное обучение девочек и мальчиков. Четыре года назад, в процессе слияния двух  образовательных учреждений: «Женской гимназии» и общеобразовательной школы №34, перед административной командой нового образовательного учреждения - школы № 99 возникла серьезная управленческая задача. Она заключалась в выборе дальнейшего пути развития и ответа на вопрос: «Что делать с обучением девочек и стоит ли организовывать классы мальчиков?». </w:t>
      </w:r>
      <w:r>
        <w:rPr>
          <w:rFonts w:ascii="Times New Roman" w:hAnsi="Times New Roman"/>
          <w:sz w:val="24"/>
          <w:szCs w:val="24"/>
          <w:lang w:eastAsia="ru-RU"/>
        </w:rPr>
        <w:t>Согласно Уставу муниципального общеобразовательного учреждения «Средняя школа № 99» образовательная деятельность школы может реализовываться с учетом гендерного подхода в структурном подразделении «Центр гендерного образования и воспитания». Цель образовательного процесса в структурном подразделении «Центр гендерного образования и воспитания» - обеспечение права и возможности достижения результатов обучающих и дополнительных общеобразовательных программ, основанных на лучших национальных традициях воспитания, с учетом психологических и физиологических особенностей пола. В настоящий момент в школе функционируют (в рамках начальной школы) 3 класса мальчиков, 6 классов девочек и 6 смешанных классов. В основной школе – 1 класс мальчиков.</w:t>
      </w:r>
    </w:p>
    <w:p>
      <w:pPr>
        <w:pStyle w:val="Normal"/>
        <w:spacing w:lineRule="auto" w:line="276" w:before="57" w:after="57"/>
        <w:ind w:right="-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В 2018-2019 учебном году в основную школу переходят классы Центра гендерного образования,  сформированные в школе № 99 к началу 2014-2015 учебного года. Для принятия важного решения: продолжать ли реализацию раздельно-параллельного обучения в 5-9 классах, нами было проведено исследование опыта работы подобных образовательных учреждений.</w:t>
      </w:r>
    </w:p>
    <w:p>
      <w:pPr>
        <w:pStyle w:val="Normal"/>
        <w:spacing w:lineRule="auto" w:line="276" w:before="57" w:after="57"/>
        <w:ind w:right="-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eastAsia="TimesNewRoman" w:ascii="Times New Roman" w:hAnsi="Times New Roman"/>
          <w:sz w:val="28"/>
          <w:szCs w:val="28"/>
        </w:rPr>
        <w:t xml:space="preserve"> </w:t>
      </w:r>
      <w:r>
        <w:rPr>
          <w:rFonts w:eastAsia="TimesNewRoman" w:ascii="Times New Roman" w:hAnsi="Times New Roman"/>
          <w:sz w:val="24"/>
          <w:szCs w:val="24"/>
        </w:rPr>
        <w:t xml:space="preserve">Из опыта работы Лицея № 103 раздельного обучения «Гармония»; г.Железногорск Красноярского края. Анализ выступления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Елены Николаевны Дубровской, </w:t>
      </w:r>
      <w:r>
        <w:rPr>
          <w:rFonts w:ascii="Times New Roman" w:hAnsi="Times New Roman"/>
          <w:iCs/>
          <w:sz w:val="24"/>
          <w:szCs w:val="24"/>
        </w:rPr>
        <w:t>директора, заслуженного учителя РФ.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-Roman"/>
          <w:b/>
          <w:b/>
          <w:sz w:val="24"/>
          <w:szCs w:val="24"/>
        </w:rPr>
      </w:pPr>
      <w:r>
        <w:rPr>
          <w:rFonts w:eastAsia="TimesNewRoman" w:ascii="Times New Roman" w:hAnsi="Times New Roman"/>
          <w:sz w:val="24"/>
          <w:szCs w:val="24"/>
        </w:rPr>
        <w:t xml:space="preserve">Многие выпускники Лицея занимаются спортом, большинство выпускников успешны в учёбе (каждый 4-5 выпускник - медалист, поступаемость в ВУЗы-100%); каждый выпускник-участник творческих конкурсов и олимпиад, имеет государственный диплом об окончании музыкальной школы, имеет водительские права, навыки программиста.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sz w:val="24"/>
          <w:szCs w:val="24"/>
        </w:rPr>
        <w:t>Мальчики и девочки из классов с раздельным обучением уже на уровне начальной школы начинают показывать лучшие результаты по разным параметрам, чем их ровесники из смешанных классов.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sz w:val="24"/>
          <w:szCs w:val="24"/>
        </w:rPr>
        <w:t>Сравнивая успеваемость учащихся 5-11 классов раздельного и смешанного обучения, было отмечено, что мальчики из классов раздельного обучения опережали своих сверстников из смешанных классов уже к 6 классу по большинству предметов учебного плана. Такая тенденция сохранялась до конца обучения в школе.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опыта работы </w:t>
      </w:r>
      <w:r>
        <w:rPr>
          <w:rFonts w:eastAsia="TimesNewRoman" w:ascii="Times New Roman" w:hAnsi="Times New Roman"/>
          <w:sz w:val="24"/>
          <w:szCs w:val="24"/>
        </w:rPr>
        <w:t xml:space="preserve">МОУ Средней общеобразовательная школа №5 с. Эдиссии Курского муниципального района Ставропольского края. В выступлении </w:t>
      </w:r>
      <w:r>
        <w:rPr>
          <w:rFonts w:ascii="Times New Roman" w:hAnsi="Times New Roman"/>
          <w:bCs/>
          <w:iCs/>
          <w:sz w:val="24"/>
          <w:szCs w:val="24"/>
        </w:rPr>
        <w:t>Маргариты Арсентьевны Арутюнян,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директора школы подчёркивается, что в</w:t>
      </w:r>
      <w:r>
        <w:rPr>
          <w:rFonts w:eastAsia="TimesNewRoman" w:ascii="Times New Roman" w:hAnsi="Times New Roman"/>
          <w:sz w:val="24"/>
          <w:szCs w:val="24"/>
        </w:rPr>
        <w:t xml:space="preserve"> условиях раздельного обучения дети развиваются гармонично и быстрее усваивают школьную программу.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sz w:val="24"/>
          <w:szCs w:val="24"/>
        </w:rPr>
        <w:t xml:space="preserve">Анализ результатов учебной деятельности свидетельствует о том, что в классах с раздельным обучением активность и старательность мальчиков и девочек намного превышает активность и старательность их сверстников, обучающихся в «смешанном» классе.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sz w:val="24"/>
          <w:szCs w:val="24"/>
        </w:rPr>
        <w:t>Из опыта работы Муниципального образовательного учреждения «Средняя школа № 99» города Ярославля.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 качества образования по итогам 2016-2017 учебного года показал следующие результаты (Таблица 1).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 – Анализ качества образования</w:t>
      </w:r>
    </w:p>
    <w:tbl>
      <w:tblPr>
        <w:tblW w:w="920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52"/>
        <w:gridCol w:w="5556"/>
      </w:tblGrid>
      <w:tr>
        <w:trPr/>
        <w:tc>
          <w:tcPr>
            <w:tcW w:w="9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школа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(смешанные классы)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школа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(гендерный центр)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45 %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63 %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видно из представленных результатов, качество образования при освоении программ учебных предметов в начальной школе выше у обучающихся Центра гендерного образования, по сравнению с обучающимися параллельных смешанных классов, на 18 %.</w:t>
      </w:r>
    </w:p>
    <w:p>
      <w:pPr>
        <w:pStyle w:val="Normal"/>
        <w:spacing w:lineRule="auto" w:line="276" w:before="0" w:after="0"/>
        <w:ind w:right="-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Таким образом, к началу 2018-2019 учебного года </w:t>
      </w:r>
      <w:r>
        <w:rPr>
          <w:rFonts w:ascii="Times New Roman" w:hAnsi="Times New Roman"/>
          <w:sz w:val="24"/>
          <w:szCs w:val="24"/>
        </w:rPr>
        <w:t xml:space="preserve"> должны быть созданы управленческие, кадровые, методические, психологические условия реализации гендерного подхода в основной школе. Должно существовать единое понимание особенностей организации учебного процесса, выбора тематики, форм внеурочной деятельности и  вариантов, предоставляемых дополнительных образовательных услуг всеми участниками образовательного процесса.</w:t>
      </w:r>
    </w:p>
    <w:p>
      <w:pPr>
        <w:pStyle w:val="Normal"/>
        <w:spacing w:lineRule="auto" w:line="240" w:before="0" w:after="0"/>
        <w:ind w:right="-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Этапы, содержание и методы деятельности, прогнозируемые результаты по каждому этапу</w:t>
      </w:r>
    </w:p>
    <w:tbl>
      <w:tblPr>
        <w:tblW w:w="9237" w:type="dxa"/>
        <w:jc w:val="left"/>
        <w:tblInd w:w="-5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423"/>
        <w:gridCol w:w="1187"/>
        <w:gridCol w:w="1957"/>
        <w:gridCol w:w="5669"/>
      </w:tblGrid>
      <w:tr>
        <w:trPr/>
        <w:tc>
          <w:tcPr>
            <w:tcW w:w="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Cs w:val="28"/>
                <w:lang w:eastAsia="ru-RU"/>
              </w:rPr>
              <w:t>п/п</w:t>
            </w:r>
          </w:p>
        </w:tc>
        <w:tc>
          <w:tcPr>
            <w:tcW w:w="1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Этапы</w:t>
            </w:r>
          </w:p>
        </w:tc>
        <w:tc>
          <w:tcPr>
            <w:tcW w:w="1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Содержание, методы деятельности</w:t>
            </w:r>
          </w:p>
        </w:tc>
        <w:tc>
          <w:tcPr>
            <w:tcW w:w="56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Прогнозируемые результаты</w:t>
            </w:r>
          </w:p>
        </w:tc>
      </w:tr>
      <w:tr>
        <w:trPr/>
        <w:tc>
          <w:tcPr>
            <w:tcW w:w="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2017-2018 учебный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  <w:tc>
          <w:tcPr>
            <w:tcW w:w="1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задачи и исследование необходимых условий, обобщение имеющегося теоретического и  практического опыта.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Метод наводящей задачи-аналога, аналогии, наблюдения.</w:t>
            </w:r>
          </w:p>
        </w:tc>
        <w:tc>
          <w:tcPr>
            <w:tcW w:w="56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ind w:left="333" w:hanging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Изменения в системе управления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инновационным образовательным процессом школы с учетом гендерного аспекта: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-Создание электронного методического кабинета, электронной учительской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-Внедрение системы мотивации для педагогов, участвующих в инновационном образовательном процессе, с учетом гендерного аспекта;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-Применение информационно-аналитической системы мониторинга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-Определение группы педагогов, классных руководителей для классов с раздельно-параллельным и смешанным обучением в основной школе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-Создание системы мониторинга внеурочной деятельности</w:t>
            </w:r>
          </w:p>
          <w:p>
            <w:pPr>
              <w:pStyle w:val="Normal"/>
              <w:spacing w:lineRule="auto" w:line="240" w:before="0" w:after="0"/>
              <w:ind w:left="333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  <w:u w:val="single"/>
              </w:rPr>
              <w:t>Работа с участниками образовательного процесса (педагоги, родители)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>Проведение серии семинаров, открытых уроков, педагогических советов, посвященных вопросам гендерного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-Создание творческой группы</w:t>
            </w:r>
            <w:r>
              <w:rPr>
                <w:rFonts w:ascii="Times New Roman" w:hAnsi="Times New Roman"/>
                <w:color w:val="FF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>педагогов начальной школы и основной школы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-Обучение педагогов на семинарах, научно-практических конференциях (в том числе и выездных, дистанционных) по вопросам раздельного обучения.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Сотрудничество с аналогичными образовательными учреждениями России и ближнего Зарубежья</w:t>
            </w:r>
            <w:r>
              <w:rPr>
                <w:rFonts w:ascii="Times New Roman" w:hAnsi="Times New Roman"/>
                <w:color w:val="FF0000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-Проведение родительских собраний по вопросам гендерного образования, знакомство родителей</w:t>
            </w:r>
            <w:r>
              <w:rPr>
                <w:rFonts w:ascii="Times New Roman" w:hAnsi="Times New Roman"/>
                <w:color w:val="FF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>с педагогическим коллективом основной школы;</w:t>
            </w:r>
          </w:p>
          <w:p>
            <w:pPr>
              <w:pStyle w:val="Normal"/>
              <w:spacing w:lineRule="auto" w:line="240" w:before="0" w:after="0"/>
              <w:ind w:right="60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-Проведение Дня открытых дверей для родителей обучающихся начальных классов педагогами основной школы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-Разработка учебных планов, в том числе учебных планов внеурочной деятельности, с учётом специфики школы.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-Разработка Программы профильного обучения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Освещение СМИ мероприятий школы, в том числе реализации раздельно-параллельного обучения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Работа с участниками образовательного процесса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>( дети);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Изучение информатики и обществознания на ранних этапах, т.е. с 5 класса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внедрение новых курсов видов внеурочной деятельности для дальнейшего формирования дальнейшему формированию классов с углублённым изучением предметов (по физике, информатике, экономике, журналистике)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Развитие системы социального партнерства: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-развитие сотрудничества с  Департаментом образования мэрии города Ярославля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Заключение договоров о сотрудничестве с другими образовательными организациями, реализующими гендерный подход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взаимодействие с детскими дошкольными учреждениями: «круглые столы» для педагогов и администрации детских садов и школы, открытые уроки и внеурочные занятия в начальной и средней школе для дошкольников, выступление творческих коллективов школы в ДОУ, Дни открытых дверей для родителей дошкольников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-Установление сотрудничества с ВУЗами города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Финансовые ресурсы: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Поиск  и сотрудничество с инвесторами, спонсорами  предприятий города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-Участие в конкурсах (с возможностью получения гранта)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Cs w:val="24"/>
                <w:lang w:eastAsia="ru-RU"/>
              </w:rPr>
              <w:t>-Организация ЦДО платных образовательных услуг</w:t>
            </w:r>
          </w:p>
        </w:tc>
      </w:tr>
      <w:tr>
        <w:trPr/>
        <w:tc>
          <w:tcPr>
            <w:tcW w:w="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2018-2019 уч.год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  <w:tc>
          <w:tcPr>
            <w:tcW w:w="1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Экпериментальная проверка выделенных условий. </w:t>
            </w:r>
          </w:p>
          <w:p>
            <w:pPr>
              <w:pStyle w:val="Normal"/>
              <w:spacing w:lineRule="auto" w:line="3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Обобщение результатов опытно-экспериментальной работы, корректировка с учетом полученных результатов образовательного процесса в ОУ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Normal"/>
              <w:spacing w:lineRule="auto" w:line="300"/>
              <w:jc w:val="both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Методы анализа, обобщения, сопоставления, измерения, сравнения, эксперимента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  <w:tc>
          <w:tcPr>
            <w:tcW w:w="56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ind w:left="333" w:hanging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Изменения в системе управления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инновационным образовательным процессом школы с учетом гендерного аспекта: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-Создание сайтов учителей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-Создание структуры психолого-педагогической поддержки по вопросам раздельно-параллельного обучения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-Применение информационно-аналитической системы мониторинга учебной и внеурочной деятельности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-Определение группы педагогов, классных руководителей для классов с раздельно-параллельным и смешанным обучением в основной школе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333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  <w:u w:val="single"/>
              </w:rPr>
              <w:t>Работа с участниками образовательного процесса (педагоги, родители)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Проведение серии семинаров, открытых уроков, педагогических советов, посвященных вопросам гендерного образования;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-Работа творческой группы</w:t>
            </w:r>
            <w:r>
              <w:rPr>
                <w:rFonts w:ascii="Times New Roman" w:hAnsi="Times New Roman"/>
                <w:color w:val="FF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педагогов начальной школы и основной школы,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Обучение педагогов на семинарах, научно-практических конференциях (в том числе и выездных, дистанционных) по вопросам раздельного обучения.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Сотрудничество с аналогичными образовательными учреждениями России и ближнего Зарубежья</w:t>
            </w:r>
            <w:r>
              <w:rPr>
                <w:rFonts w:ascii="Times New Roman" w:hAnsi="Times New Roman"/>
                <w:color w:val="FF0000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-Проведение родительских собраний по вопросам гендерного образования, знакомство с педагогическим коллективом основной школы;</w:t>
            </w:r>
          </w:p>
          <w:p>
            <w:pPr>
              <w:pStyle w:val="Normal"/>
              <w:spacing w:lineRule="auto" w:line="240" w:before="0" w:after="0"/>
              <w:ind w:right="60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-Проведение Дня открытых дверей для родителей начальных классов педагогами основной школы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-Создание творческой группы для внесения изменений в рабочие программы педагогов и ООП ООО, с учётом гендерного компонента, создания Программы развития школы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Освещение СМИ мероприятий школы, в том числе реализации раздельно-параллельного обучения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Работа с участниками образовательного процесса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>(дети);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 Изучение информатики и обществознания на ранних этапах, т.е. с 5 класса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внедрение новых курсов видов внеурочной деятельности для дальнейшего формирования дальнейшему формированию классов с углублённым изучением предметов (по физике, информатике, экономике, журналистике)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Развитие системы социального партнерства: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-развитие сотрудничества с Департаментом образования мэрии города Ярославля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-Сотрудничество с другими образовательными организациями, реализующими гендерный подход, проведение семинаров, круглых столов, обмен опытом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-взаимодействие с детскими дошкольными учреждениями: «круглые столы» для педагогов и администрации детских садов и школы, открытые уроки и внеурочные занятия в начальной и средней школе для дошкольников, выступление творческих коллективов школы в ДОУ, Дни открытых дверей для родителей дошкольников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 Сотрудничество с ВУЗами города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Финансовые ресурсы: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-Сотрудничество с инвесторами, спонсорами - предприятиями города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-Участие в конкурсах (с возможностью получения гранта)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-Работа  ЦДО  с предоставлением платных образовательных услуг</w:t>
            </w:r>
          </w:p>
        </w:tc>
      </w:tr>
      <w:tr>
        <w:trPr/>
        <w:tc>
          <w:tcPr>
            <w:tcW w:w="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2019-2020 уч.год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  <w:tc>
          <w:tcPr>
            <w:tcW w:w="19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результатов опытно-экспериментальной работы, корректировка с учетом полученных результатов образовательного процесса в ОУ.</w:t>
            </w:r>
          </w:p>
          <w:p>
            <w:pPr>
              <w:pStyle w:val="Normal"/>
              <w:tabs>
                <w:tab w:val="left" w:pos="851" w:leader="none"/>
              </w:tabs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рекомендаций для использования в деятельности других ОУ.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>Методы анализа(формулирование рекомендуемых выводов)</w:t>
            </w:r>
          </w:p>
        </w:tc>
        <w:tc>
          <w:tcPr>
            <w:tcW w:w="56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ind w:left="333" w:hanging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Изменения в системе управления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инновационным образовательным процессом школы с учетом гендерного аспекта: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-Создана и эффективно действует система электронная информационная система, включающая в себя школьный сайт, методический кабинет, учительскую и </w:t>
            </w:r>
            <w:r>
              <w:rPr>
                <w:rFonts w:ascii="Times New Roman" w:hAnsi="Times New Roman"/>
                <w:szCs w:val="24"/>
              </w:rPr>
              <w:t>сайты учителей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-Действует структура психолого-педагогической поддержки по вопросам раздельно-параллельного обучения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-Происходит постоянный мониторинг учебной и внеурочной деятельности,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-Создание отдельной структуры, отвечающей за инновационные процессы в школе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333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  <w:u w:val="single"/>
              </w:rPr>
              <w:t>Работа с участниками образовательного процесса (педагоги, родители)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>Постоянное проведение семинаров, открытых уроков, педагогических советов, посвященных вопросам гендерного образования для педагогов других школ города Ярославля и Ярославской области; обучение педагогов на курсах (в том числе и выездных) по вопросам раздельного обучения, родительских собраний по вопросам гендерного образования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-Систематическая работа методического объединения педагогов начальной школы и основной школы, разработка Программы преемственности при переходе учащихся в основную школу</w:t>
            </w:r>
          </w:p>
          <w:p>
            <w:pPr>
              <w:pStyle w:val="Normal"/>
              <w:spacing w:lineRule="auto" w:line="240" w:before="0" w:after="0"/>
              <w:ind w:right="60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-Систематическое проведение Дней открытых дверей  педагогами  школы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-Внесены изменения в рабочие программы педагогов и ООП  ООО, с учётом гендерного компонента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Составление и освоение программ для обучения и развития одаренных детей по направлениям развития личности;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>Освещение СМИ мероприятий школы, в том числе реализации раздельно-параллельного обучения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Работа с участниками образовательного процесса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>( дети);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Изучение информатики и обществознания на ранних этапах, т.е. с 5 класса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внедрение новых курсов видов внеурочной деятельности для дальнейшего формирования дальнейшему формированию классов с углублённым изучением предметов (по физике, информатике, экономике, журналистике)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Развитие системы социального партнерства: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-развитие сотрудничества с  Департаментом образования мэрии города Ярославля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-Сотрудничество с другими образовательными организациями, реализующими гендерный подход, проведение семинаров, круглых столов, обмен опытом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взаимодействие с детскими дошкольными учреждениями: «круглые столы» для педагогов и администрации детских садов и школы, открытые уроки и внеурочные занятия в начальной и средней школе для дошкольников, выступление творческих коллективов школы в ДОУ, Дни открытых дверей для родителей дошкольников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 Сотрудничество с ВУЗами города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Финансовые ресурсы: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-Сотрудничество с инвесторами, спонсорами - предприятиями города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-Участие в конкурсах (с возможностью получения гранта)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-Работа  ЦДО  с предоставлением платных образовательных услуг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Необходимые условия организации работ, средства контроля и обеспечения достоверности результатов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условиями организации работы являются: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поддержки Департамента образования во всех фазах инновационного процесса;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коммуникации с образовательными учреждениями района и города; деловыми партнерами- учреждениями, работающими с использованием раздельно-параллельного обучения, инвесторами (депутатами муниципалитета) или спонсорами (родителями, заинтересованными в развитии школы предприятиями города), конкурентами, исследовательскими организациями (Городским центром развития образования, Институтом развития образования г. Ярославля);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научное консультирование педагогического коллектива и администрации школы по вопросам раздельно-параллельного обучения и организации инновационного процесса; 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мотивированное руководство (весь административный состав муниципального общеобразовательного учреждения разделяет подходы раздельно-параллельного обучения);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интеграция технологических и организационно-управленческих инноваций;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высокое качество работы педагогического персонала;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эффективные отношения с персоналом, широкое вовлечение его в инновационный процесс: проведение семинаров, круглых столов, открытых уроков и мероприятий для педагогов школы;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непрерывное организационное обучение: повышение квалификации на курсах, посещение мероприятий по вопросам раздельно-параллельного обучения,  в том числе и выездных;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эффективная система маркетинга, осуществляющая коммуникации с конечными потребителями: ежегодный набор детей в школу раннего развития, что даёт возможность педагогам познакомиться с детьми, привлечь участников образовательного процесса (до 80% детей, посещающих школу раннего развития, остаются в школе № 99);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управление качеством, инфраструктурой, организационным развитием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709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Средствами контроля будут являться: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Мониторинг  уровня социализации личности учащихся (1 раз в год);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Мониторинг качества образования (тематический, рубежный, итоговый);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Мониторинг состояния здоровья учащихся (2 раза в год);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Мониторинг интересов и  профессионального самоопределения учащихся (1 раз в год)</w:t>
      </w:r>
    </w:p>
    <w:p>
      <w:pPr>
        <w:pStyle w:val="Normal"/>
        <w:spacing w:lineRule="auto" w:line="360" w:before="0" w:after="0"/>
        <w:ind w:left="709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Описание ресурсного обеспечения проекта</w:t>
      </w:r>
    </w:p>
    <w:p>
      <w:pPr>
        <w:pStyle w:val="Normal"/>
        <w:tabs>
          <w:tab w:val="left" w:pos="851" w:leader="none"/>
        </w:tabs>
        <w:spacing w:lineRule="auto" w:line="360" w:before="0" w:after="0"/>
        <w:ind w:firstLine="5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851" w:leader="none"/>
        </w:tabs>
        <w:spacing w:lineRule="auto" w:line="360" w:before="0" w:after="0"/>
        <w:ind w:firstLine="562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Школа 99 - учреждение, осуществляющее интеграцию учебной и внеурочной деятельности с привлечением возможностей ЦДО, что является важным фактором для осуществления задач проекта.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Кадровое: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Общая численность педагогических работников школы составляет 45 педагогов. Высшее образование имеют 41 человек, что составляет 91,1%, из них педагогическое - 34 (75%).    Среднее профессиональное образование - 4 чел. (8,9%), из них педагогическое - 4 чел. (25%).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Аттестованы на первую и высшую категории - 25 чел.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видно из приведенной диаграммы, 55% педагогов школы прошли аттестацию на первую и высшую категории. Менее значительная часть педагогов (45%) аттестована на соответствие занимаемой должности. Данные педагоги имеют большой опыт работы в школе, следовательно, они могут участвовать в проекте. Кроме того, сравнительно высокий процент молодых специалистов в школе позволяет говорить о потенциальных возможностях развития организации. В школе работают учителя в возрасте до 30 лет -11 чел. (24%). Все это дает возможность повышения профессионального уровня учителей в вопросе организации обучения с учетом гендерного подхода.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Базовый кадровый ресурс</w:t>
      </w:r>
      <w:r>
        <w:rPr>
          <w:rFonts w:ascii="Times New Roman" w:hAnsi="Times New Roman"/>
          <w:bCs/>
          <w:sz w:val="24"/>
          <w:szCs w:val="24"/>
        </w:rPr>
        <w:t xml:space="preserve">: в процессе функционирования инновационной площадки  будут задействованы ориентированные на проект и высококвалифицированные учителя. 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Важный кадровый ресурс</w:t>
      </w:r>
      <w:r>
        <w:rPr>
          <w:rFonts w:ascii="Times New Roman" w:hAnsi="Times New Roman"/>
          <w:color w:val="000000"/>
          <w:sz w:val="24"/>
          <w:szCs w:val="24"/>
        </w:rPr>
        <w:t>: мотивированное руководство (весь административный состав муниципального общеобразовательного учреждения разделяет подходы раздельно-параллельного обучения); поддержка Департамента образования;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Необходимый  кадровый ресурс</w:t>
      </w:r>
      <w:r>
        <w:rPr>
          <w:rFonts w:ascii="Times New Roman" w:hAnsi="Times New Roman"/>
          <w:color w:val="000000"/>
          <w:sz w:val="24"/>
          <w:szCs w:val="24"/>
        </w:rPr>
        <w:t xml:space="preserve">: научное руководство обеспечивает к.п.н., доцент Бекетова Н.Е., </w:t>
      </w:r>
      <w:r>
        <w:rPr>
          <w:rFonts w:ascii="Times New Roman" w:hAnsi="Times New Roman"/>
          <w:i/>
          <w:color w:val="000000"/>
          <w:sz w:val="24"/>
          <w:szCs w:val="24"/>
        </w:rPr>
        <w:t>планируется привлечение других специалистов из вузов г. Ярославля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0" w:hanging="0"/>
        <w:jc w:val="both"/>
        <w:rPr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Планируемый кадровый ресурс</w:t>
      </w:r>
      <w:r>
        <w:rPr>
          <w:rFonts w:ascii="Times New Roman" w:hAnsi="Times New Roman"/>
          <w:color w:val="000000"/>
          <w:sz w:val="24"/>
          <w:szCs w:val="24"/>
        </w:rPr>
        <w:t xml:space="preserve">: привлечение специалистов (особенно мужчин) для обеспечения видов деятельности, формирующих маскулинность мальчиков.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-57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Инновационный процесс, связанный с применением параллельно – раздельного обучения в основной школе, в полной степени может быть обеспечен только в процессе интеграции общего и дополнительного образования. В то время как учебная и внеурочная деятельность направлена на достижение планируемых результатов ООП, дополнительное образование призвано осуществлять образовательную деятельность за пределами образовательных программ. Объединяя эти два направления работы, мы стремимся к одному результату: формированию личности юноши и девушки, обладающих необходимыми общекультурными и учебными компетенциями и успешно реализующих свои индивидуальные способности.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271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7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Направления деятельности ЦДО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7" w:right="0" w:hanging="0"/>
        <w:jc w:val="center"/>
        <w:rPr/>
      </w:pPr>
      <w:r>
        <w:rPr>
          <w:rFonts w:ascii="Times New Roman" w:hAnsi="Times New Roman"/>
          <w:b/>
          <w:i/>
          <w:sz w:val="28"/>
          <w:szCs w:val="28"/>
        </w:rPr>
        <w:t>(планируемые объединения для детей 11-13 лет, организуемые с учетом параллельно – раздельного обучения)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7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Спортивное направление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футбол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легкая атлетика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баскетбол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офп с элементами бокса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ритмическая гимнастика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чирлидинг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подготовка и проведение спортивных мероприятий, праздников, фестивалей.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Социально-педагогическое направление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клуб «ПРОФИ» (профориентационная работа с учетом гендерного подхода)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юный спасатель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занимательная математика/физика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занимательный английский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клуб «ПРОФИ» (профориентационная работа с учетом гендерного подхода)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занимательная математика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занимательный английский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Совместные объединения: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журналистика, Клуб креативного мышления, Клуб волонтеров.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подготовка и участие в социально значимых акциях, волонтерская деятельность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направление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современный танец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мастерская творчества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хореография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эстрадный вокал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ансамбль обучения игре на блок-флейте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изостудия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творческая мастерская (декоративно-прикладное творчество)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 в одежде (клуб «Стиль»)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Совместные объединения: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театральная студия, студия эстрадного вокала, хоровое пение.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подготовка и проведение культурно-массовых мероприятий, праздников, постановка спектаклей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Техническое направление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-занимательная информатика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-робототехника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-занимательная информатика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-основы дизайна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направление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ландшафтный дизайн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подготовка и реализация проектов по ландшафтному дизайну (уровень учреждения и уровень города)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360" w:leader="none"/>
        </w:tabs>
        <w:spacing w:lineRule="auto" w:line="360" w:before="0" w:after="0"/>
        <w:ind w:left="3054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Нормативно – правовое обеспечение проекта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 </w:t>
      </w:r>
      <w:r>
        <w:rPr>
          <w:rFonts w:ascii="Times New Roman" w:hAnsi="Times New Roman"/>
          <w:sz w:val="24"/>
          <w:szCs w:val="24"/>
        </w:rPr>
        <w:t>№ 273-ФЗ «Об образовании в Российской Федерации» от 29.12.2012г.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Устав муниципального общеобразовательного учреждения «Средняя школа №99» (новая редакция)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Локальные акты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Положение  о Центре гендерного образования  и воспитания муниципального общеобразовательного учреждения  «Средняя школа № 99»;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Положение о центре дополнительного образования МОУ СОШ №99;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Положение о режиме учебных занятий в муниципальном общеобразовательном учреждении средней общеобразовательной школе № 99 (МОУ СОШ № 99);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Основная образовательная программа начального общего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Основная образовательная программа основного общего образования;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Материально- техническое обеспечение проекта: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Площади: (наличие спортзала и </w:t>
      </w:r>
      <w:r>
        <w:rPr>
          <w:rFonts w:ascii="Times New Roman" w:hAnsi="Times New Roman"/>
          <w:color w:val="000000"/>
          <w:sz w:val="24"/>
          <w:szCs w:val="24"/>
        </w:rPr>
        <w:t>оборудованных аудиторий</w:t>
      </w:r>
      <w:r>
        <w:rPr>
          <w:rFonts w:ascii="Times New Roman" w:hAnsi="Times New Roman"/>
          <w:color w:val="000000"/>
          <w:sz w:val="24"/>
          <w:szCs w:val="24"/>
        </w:rPr>
        <w:t xml:space="preserve"> позволяют эффективно реализовать проект</w:t>
      </w:r>
    </w:p>
    <w:tbl>
      <w:tblPr>
        <w:tblW w:w="95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0"/>
        <w:gridCol w:w="61"/>
        <w:gridCol w:w="2829"/>
        <w:gridCol w:w="97"/>
        <w:gridCol w:w="2096"/>
        <w:gridCol w:w="15"/>
        <w:gridCol w:w="1852"/>
      </w:tblGrid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Необходимо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Экран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Проектор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Роутер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wi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fi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Возможно использование переносного проектора</w:t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Мециацентр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Принтер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Экран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 для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Сканер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Необходима замена устаревшего компьютера</w:t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 (3 шт)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Холл школы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ЖК-телевизор Информационный киоск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Административная зона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Ноутбук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 –3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МФУ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Принтер (Цв.)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Сканеры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Фотоаппарат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Необходима замена устаревших компьютеров.</w:t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Социально – психологическая служба и логопункт.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Принтеры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Экран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Необходима замена устаревших компьютеров.</w:t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Педагоги-оргнизаторы, врач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Принтеры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МФУ – 1 шт.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Группы продленного дня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Телевизор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Ноутбук – 1 шт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МФУ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ЖК панель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интерактивного тестирования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Activexpression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пультов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Серверная</w:t>
            </w:r>
          </w:p>
        </w:tc>
        <w:tc>
          <w:tcPr>
            <w:tcW w:w="2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 сервера </w:t>
            </w: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(для сбора, хранения и обработки информации)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Сетевое хранилище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Межсетевой экран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ИБП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Оснащение предметных кабинетов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(к нему относятся автоматизированные рабочие места  педагогов и обучающихся, а также наборы традиционной учебной техники для обеспечения образовательного процесса. 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Необходимо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Ноутбуки – 10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 – 6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Проекторы – 7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Интерактивные доски – 7 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Документ-камеры – 4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Принтер- 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МФУ – 3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Телевизоры – 4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Проекторы – 4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Интерактивные доски – 4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МФУ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Фотоаппарат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Цифровые микроскопы -7 шт.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Кабинеты русского языка и литературы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Проекторы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Интерактивная доска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Телевизоры –2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– плеер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МФУ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Проекторы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Интерактивная доска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 камера – 2 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Кабинеты математики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Интерактивные доски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Проекторы – 3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Принтер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 камеры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Кабинеты истории и обществознания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Интерактивная доска – 1шт.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Проекторы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 камеры – 1 шт</w:t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МФУ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Интерактивная доска – 1шт.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Проекторы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 камеры – 1 шт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Кабинеты информатики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Моноблоки – 11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Ноутбуки – 4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Принтеры – 1 шт..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Проекторы – 1 шт.</w:t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Интерактивная доска – 2шт.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Терминальный сервер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Ноутбуки – 8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МФУ- 1 шт.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Кабинеты иностранного языка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Компьютеры-1 шт. </w:t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 – 1 шт.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Необходима замена устаревших компьютеров.</w:t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 биологии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Компьютер – 1 шт.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Микроскоп с цифровой камерой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Цифровая лаборатория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Ноутбук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Интерактивная доска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 камера- 1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 географии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 – 1шт.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 – 1 шт. Принтер</w:t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 химии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Цифровые датчики – 7 комплектов.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Нетбуки – 6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Моноблок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Интерактивная доска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 – камера- 1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МФУ–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 физики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Цифровые датчики – 7 комплектов.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Нетбуки – 6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Моноблок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Интерактивная доска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 – камера- 1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МФУ–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 ИЗО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Ноутбук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Интерактивная доска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Документ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камера – 1 шт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 музыки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 – 1 шт. Миди-клавиатура.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 ОБЖ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Компьютер – 1 шт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Кабинеты технологии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Компьютеры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Проектор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Нетбук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Швейная машина с цифровым управлением.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Компьютер- 1шт.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gree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Ожидаемый инновационный продукт: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Для некоммерческой организации </w:t>
      </w:r>
      <w:r>
        <w:rPr>
          <w:rFonts w:ascii="Times New Roman" w:hAnsi="Times New Roman"/>
          <w:i/>
          <w:sz w:val="24"/>
          <w:szCs w:val="24"/>
        </w:rPr>
        <w:t xml:space="preserve">продуктом </w:t>
      </w:r>
      <w:r>
        <w:rPr>
          <w:rFonts w:ascii="Times New Roman" w:hAnsi="Times New Roman"/>
          <w:sz w:val="24"/>
          <w:szCs w:val="24"/>
        </w:rPr>
        <w:t xml:space="preserve">будет совокупность компетенций выпускника школы - «портрет» выпускника. </w:t>
      </w:r>
      <w:r>
        <w:rPr>
          <w:rFonts w:ascii="Times New Roman" w:hAnsi="Times New Roman"/>
          <w:spacing w:val="1"/>
          <w:sz w:val="24"/>
          <w:szCs w:val="24"/>
        </w:rPr>
        <w:t xml:space="preserve">По нашему видению, выпускник школы – это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 че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ек, </w:t>
      </w:r>
      <w:r>
        <w:rPr>
          <w:rFonts w:ascii="Times New Roman" w:hAnsi="Times New Roman"/>
          <w:spacing w:val="-1"/>
          <w:sz w:val="24"/>
          <w:szCs w:val="24"/>
        </w:rPr>
        <w:t>вл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-с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рны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бно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мм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льн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ия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ия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са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ша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шка, обладающие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семи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 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му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я и 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ня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pacing w:val="-1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прин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3"/>
          <w:sz w:val="24"/>
          <w:szCs w:val="24"/>
        </w:rPr>
        <w:t>ь. Поскольку продолжительность периода для реализации проекта составляет три года, то мы можем сказать, что инновационным продуктом в нашем случае будет являться система условий для воспи</w:t>
      </w:r>
      <w:bookmarkStart w:id="0" w:name="_GoBack"/>
      <w:bookmarkEnd w:id="0"/>
      <w:r>
        <w:rPr>
          <w:rFonts w:ascii="Times New Roman" w:hAnsi="Times New Roman"/>
          <w:spacing w:val="-3"/>
          <w:sz w:val="24"/>
          <w:szCs w:val="24"/>
        </w:rPr>
        <w:t xml:space="preserve">тания будущего выпускника школы.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Методические рекомендации, направленные на учет психо-физиологических особенностей обучающихся; </w:t>
      </w:r>
    </w:p>
    <w:p>
      <w:pPr>
        <w:pStyle w:val="Normal"/>
        <w:spacing w:lineRule="auto" w:line="240" w:before="0" w:after="0"/>
        <w:ind w:right="46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Корректировка образовательной   программы школы, рабочих программ педагогов с учетом гендерного подхода в образовательном процессе,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и 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ы с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инновационных</w:t>
      </w:r>
      <w:r>
        <w:rPr>
          <w:rFonts w:ascii="Times New Roman" w:hAnsi="Times New Roman"/>
          <w:sz w:val="24"/>
          <w:szCs w:val="24"/>
        </w:rPr>
        <w:t xml:space="preserve">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 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лов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олого-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гендерных классов;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Создание творческих (научных) групп по разработке новых программ обучения и воспитания, их внедрению в образовательную практику;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вариативности образовательных программ с учетом половозрастных и личностных особенностей обучающихся;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внедрение программ и технологий проблемно-ориентированного обучения.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структурированная управленческая деятельность, обеспечивающая раздельное обучение;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Обновление компетенций педагогов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области гендерного образования: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33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агогов в области гендерного образования;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33" w:hanging="18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гогов на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и, касающихся проблематики раздельного образования (в том числе и выездных курсах);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33" w:hanging="18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Создание творческих (научных) групп по разработке новых программ по гендерному обучению и воспитанию, их внедрению в практику;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33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Наработка форм, методов и приемов преподавания с учетом половозрастных особенностей девочек и мальчиков;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33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эффек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школы в области гендерного образования;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33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педагогического</w:t>
      </w:r>
      <w:r>
        <w:rPr>
          <w:rFonts w:ascii="Times New Roman" w:hAnsi="Times New Roman"/>
          <w:sz w:val="24"/>
          <w:szCs w:val="24"/>
        </w:rPr>
        <w:t xml:space="preserve"> мастерства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33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и 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33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и совершенствование педагогики здоровья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33" w:right="467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 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олы собственного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та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тф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о,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по методическим вопросам организации гендерного образования;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Развитие системы социального партнерства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другими образовательными организациями, реализующими гендерный подход:</w:t>
      </w:r>
    </w:p>
    <w:p>
      <w:pPr>
        <w:pStyle w:val="ListParagraph"/>
        <w:numPr>
          <w:ilvl w:val="0"/>
          <w:numId w:val="8"/>
        </w:numPr>
        <w:tabs>
          <w:tab w:val="left" w:pos="85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возможностей воспитательно-образовательного пространства района;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 договоров о сотрудничестве с другими образовательными организациями, реализующими гендерный подход;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Распространение идеи и опыта раздельного обучения через создание учебно-методического центра;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09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Привлечение преподавателей вузов к работе с одаренными детьми;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09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тесного взаимодействия с детскими дошкольными учреждениями;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Возобновление сотрудничества с ЯГМА, с ЯГПУ (кафедра физвоспитания),  с Институтом развития образования (лаборатория социомониторинга</w:t>
      </w:r>
    </w:p>
    <w:p>
      <w:pPr>
        <w:pStyle w:val="Normal"/>
        <w:spacing w:lineRule="auto" w:line="240" w:before="0" w:after="0"/>
        <w:ind w:left="383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Обновление материально-технической базы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целью эффективного обучения мальчиков и девочек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 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олы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и, обновлении с учетом потребностей и интересов мальчиков и девочек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дополнительных платных образовательных услуг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Привлечение бюджетных, внебюджетных и спонсорских средств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ляр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и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информационно-образовательной среды школы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фай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овом</w:t>
      </w:r>
      <w:r>
        <w:rPr>
          <w:rFonts w:ascii="Times New Roman" w:hAnsi="Times New Roman"/>
          <w:spacing w:val="-1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Сбор 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 (ди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иа</w:t>
      </w:r>
      <w:r>
        <w:rPr>
          <w:rFonts w:ascii="Times New Roman" w:hAnsi="Times New Roman"/>
          <w:sz w:val="24"/>
          <w:szCs w:val="24"/>
        </w:rPr>
        <w:t xml:space="preserve">лов,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ций</w:t>
      </w:r>
      <w:r>
        <w:rPr>
          <w:rFonts w:ascii="Times New Roman" w:hAnsi="Times New Roman"/>
          <w:sz w:val="24"/>
          <w:szCs w:val="24"/>
        </w:rPr>
        <w:t>, вид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ов 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 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спортивной базы (стадион, бассейн)</w:t>
      </w:r>
    </w:p>
    <w:p>
      <w:pPr>
        <w:pStyle w:val="Normal"/>
        <w:spacing w:lineRule="auto" w:line="240" w:before="0" w:after="0"/>
        <w:ind w:left="74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базы для мальчиков (кабинет технологии, лего-конструирование, робототехника)</w:t>
      </w:r>
    </w:p>
    <w:p>
      <w:pPr>
        <w:pStyle w:val="Normal"/>
        <w:spacing w:lineRule="auto" w:line="240" w:before="0" w:after="0"/>
        <w:ind w:left="743" w:hang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Web"/>
        <w:tabs>
          <w:tab w:val="left" w:pos="1134" w:leader="none"/>
        </w:tabs>
        <w:spacing w:lineRule="auto" w:line="240" w:beforeAutospacing="0" w:before="0" w:after="0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Предложения по распространению и внедрению результатов проекта в МСО.</w:t>
      </w:r>
    </w:p>
    <w:p>
      <w:pPr>
        <w:pStyle w:val="NormalWeb"/>
        <w:tabs>
          <w:tab w:val="left" w:pos="1134" w:leader="none"/>
        </w:tabs>
        <w:spacing w:lineRule="auto" w:line="240" w:beforeAutospacing="0" w:before="0" w:after="0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tabs>
          <w:tab w:val="left" w:pos="4536" w:leader="none"/>
        </w:tabs>
        <w:spacing w:lineRule="auto" w:line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Осуществление права детей на выбор  образовательного учреждения и максимальный учет их личностных особенностей; </w:t>
      </w:r>
    </w:p>
    <w:p>
      <w:pPr>
        <w:pStyle w:val="Normal"/>
        <w:spacing w:lineRule="auto" w:line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2.Увеличение вариативности регионального образовательного пространства;</w:t>
      </w:r>
    </w:p>
    <w:p>
      <w:pPr>
        <w:pStyle w:val="Normal"/>
        <w:spacing w:lineRule="auto" w:line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3.Повышение качества образования в регионе за счет учета психофизиологических особенностей в образовательном процессе различных  образовательных учреждений.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Привлечение высококвалифицированных научных кадров, способных создать научную основу проводимого исследования. </w:t>
      </w:r>
    </w:p>
    <w:p>
      <w:pPr>
        <w:pStyle w:val="NormalWeb"/>
        <w:tabs>
          <w:tab w:val="left" w:pos="1134" w:leader="none"/>
        </w:tabs>
        <w:spacing w:lineRule="auto" w:line="240" w:beforeAutospacing="0" w:before="0" w:after="0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43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43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0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3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6d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6"/>
    <w:uiPriority w:val="99"/>
    <w:semiHidden/>
    <w:qFormat/>
    <w:locked/>
    <w:rsid w:val="00854fbd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uiPriority w:val="99"/>
    <w:qFormat/>
    <w:rsid w:val="00620f1e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  <w:sz w:val="26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b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Times New Roman" w:hAnsi="Times New Roman" w:cs="Symbol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Symbol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Times New Roman"/>
      <w:sz w:val="26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Times New Roman" w:hAnsi="Times New Roman" w:cs="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Times New Roman" w:hAnsi="Times New Roman" w:cs="Symbol"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Symbol"/>
      <w:b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Times New Roman" w:hAnsi="Times New Roman" w:cs="Symbol"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Times New Roman" w:hAnsi="Times New Roman" w:cs="Symbol"/>
      <w:sz w:val="24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Times New Roman" w:hAnsi="Times New Roman" w:cs="Symbol"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Times New Roman" w:hAnsi="Times New Roman" w:cs="Symbol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ce7ce3"/>
    <w:pPr>
      <w:spacing w:lineRule="auto" w:line="276" w:beforeAutospacing="1" w:after="115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NoSpacing">
    <w:name w:val="No Spacing"/>
    <w:uiPriority w:val="99"/>
    <w:qFormat/>
    <w:rsid w:val="004d3a93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854fb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qFormat/>
    <w:rsid w:val="00854f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LibreOffice/5.2.2.2$Windows_x86 LibreOffice_project/8f96e87c890bf8fa77463cd4b640a2312823f3ad</Application>
  <Pages>16</Pages>
  <Words>3730</Words>
  <Characters>27716</Characters>
  <CharactersWithSpaces>31298</CharactersWithSpaces>
  <Paragraphs>428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2017-06-14T18:00:00Z</dcterms:created>
  <dc:creator>Бекетовы</dc:creator>
  <dc:description/>
  <dc:language>ru-RU</dc:language>
  <cp:lastModifiedBy/>
  <dcterms:modified xsi:type="dcterms:W3CDTF">2017-10-17T14:51:51Z</dcterms:modified>
  <cp:revision>6</cp:revision>
  <dc:subject/>
  <dc:title>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